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75"/>
        </w:tabs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275"/>
        </w:tabs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MEMORÁNDUM Nº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275"/>
        </w:tabs>
        <w:spacing w:after="0" w:lineRule="auto"/>
        <w:jc w:val="center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275"/>
        </w:tabs>
        <w:spacing w:after="0" w:lineRule="auto"/>
        <w:jc w:val="right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12 DE NOVIEMBRE</w:t>
      </w:r>
      <w:r w:rsidDel="00000000" w:rsidR="00000000" w:rsidRPr="00000000">
        <w:rPr>
          <w:b w:val="0"/>
          <w:bCs w:val="0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275"/>
        </w:tabs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80" w:right="0" w:hanging="10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DIRECTOR DE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ADMINISTRACIÓN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FINANZAS</w:t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80" w:right="0" w:hanging="10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ENCARGADA UNIDAD DE GESTIÓN DE COBRANZAS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ASUNTO: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EN MATERIA DE PATENTE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Descargo de órdenes de ingresos por declaración judicial de prescripción extintiva del artículo 2521 del Código Civil.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Mediante el presente solicito autorizar dictar Decreto Municipal para realizar descargo en los Sistemas de Patentes Municipal y de Contabilidad, de las órdenes de </w:t>
      </w:r>
      <w:r w:rsidDel="00000000" w:rsidR="00000000" w:rsidRPr="00000000">
        <w:rPr>
          <w:vertAlign w:val="baseline"/>
          <w:rtl w:val="0"/>
        </w:rPr>
        <w:t xml:space="preserve">que va desde el </w:t>
      </w:r>
      <w:r w:rsidDel="00000000" w:rsidR="00000000" w:rsidRPr="00000000">
        <w:rPr>
          <w:rtl w:val="0"/>
        </w:rPr>
        <w:t xml:space="preserve">primer </w:t>
      </w:r>
      <w:r w:rsidDel="00000000" w:rsidR="00000000" w:rsidRPr="00000000">
        <w:rPr>
          <w:vertAlign w:val="baseline"/>
          <w:rtl w:val="0"/>
        </w:rPr>
        <w:t xml:space="preserve">semestre del año </w:t>
      </w:r>
      <w:r w:rsidDel="00000000" w:rsidR="00000000" w:rsidRPr="00000000">
        <w:rPr>
          <w:rtl w:val="0"/>
        </w:rPr>
        <w:t xml:space="preserve">2012</w:t>
      </w:r>
      <w:r w:rsidDel="00000000" w:rsidR="00000000" w:rsidRPr="00000000">
        <w:rPr>
          <w:vertAlign w:val="baseline"/>
          <w:rtl w:val="0"/>
        </w:rPr>
        <w:t xml:space="preserve"> al </w:t>
      </w:r>
      <w:r w:rsidDel="00000000" w:rsidR="00000000" w:rsidRPr="00000000">
        <w:rPr>
          <w:rtl w:val="0"/>
        </w:rPr>
        <w:t xml:space="preserve">segundo</w:t>
      </w:r>
      <w:r w:rsidDel="00000000" w:rsidR="00000000" w:rsidRPr="00000000">
        <w:rPr>
          <w:vertAlign w:val="baseline"/>
          <w:rtl w:val="0"/>
        </w:rPr>
        <w:t xml:space="preserve"> semestre del año </w:t>
      </w: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la patente Rol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N°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241597-6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nombre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INMOBILIARIA E INVERSIONES SANTA SARA LIMITADA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RUT: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76201924-8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Giro: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ALQUILER DE BIENES INMUEBLES AMOBLADOS (DOMICILIO TRIBUTARIO)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</w:t>
      </w:r>
      <w:r w:rsidDel="00000000" w:rsidR="00000000" w:rsidRPr="00000000">
        <w:rPr>
          <w:sz w:val="24"/>
          <w:szCs w:val="24"/>
          <w:rtl w:val="0"/>
        </w:rPr>
        <w:t xml:space="preserve">bicada Hermann Niemeyer Fernández 568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,</w:t>
      </w:r>
      <w:r w:rsidDel="00000000" w:rsidR="00000000" w:rsidRPr="00000000">
        <w:rPr>
          <w:sz w:val="24"/>
          <w:szCs w:val="24"/>
          <w:rtl w:val="0"/>
        </w:rPr>
        <w:t xml:space="preserve">Parque Industrial 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Quillota.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JUSTIFICACIÓN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Por Sentencia dictada en Causa Rol C-</w:t>
      </w:r>
      <w:r w:rsidDel="00000000" w:rsidR="00000000" w:rsidRPr="00000000">
        <w:rPr>
          <w:sz w:val="24"/>
          <w:szCs w:val="24"/>
          <w:rtl w:val="0"/>
        </w:rPr>
        <w:t xml:space="preserve">1804-2024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fecha </w:t>
      </w:r>
      <w:r w:rsidDel="00000000" w:rsidR="00000000" w:rsidRPr="00000000">
        <w:rPr>
          <w:sz w:val="24"/>
          <w:szCs w:val="24"/>
          <w:rtl w:val="0"/>
        </w:rPr>
        <w:t xml:space="preserve">21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Marzo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del </w:t>
      </w:r>
      <w:r w:rsidDel="00000000" w:rsidR="00000000" w:rsidRPr="00000000">
        <w:rPr>
          <w:sz w:val="24"/>
          <w:szCs w:val="24"/>
          <w:rtl w:val="0"/>
        </w:rPr>
        <w:t xml:space="preserve">Segundo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Juzgado de Letras de Quillota, se declaró la prescripción extintiva de las acciones de cobro de los periodos que se indican. Certificado de ejecutoriedad de la sentencia, de fecha 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junio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 2</w:t>
      </w:r>
      <w:r w:rsidDel="00000000" w:rsidR="00000000" w:rsidRPr="00000000">
        <w:rPr>
          <w:sz w:val="24"/>
          <w:szCs w:val="24"/>
          <w:rtl w:val="0"/>
        </w:rPr>
        <w:t xml:space="preserve">025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Secretari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subrogante del tribunal. 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ORDENES DE INGRESOS A DESCARGAR: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</w:t>
      </w:r>
    </w:p>
    <w:tbl>
      <w:tblPr>
        <w:tblStyle w:val="Table1"/>
        <w:tblW w:w="7948.0" w:type="dxa"/>
        <w:jc w:val="left"/>
        <w:tblInd w:w="5.0" w:type="dxa"/>
        <w:tblLayout w:type="fixed"/>
        <w:tblLook w:val="0000"/>
      </w:tblPr>
      <w:tblGrid>
        <w:gridCol w:w="1400"/>
        <w:gridCol w:w="1660"/>
        <w:gridCol w:w="2260"/>
        <w:gridCol w:w="2628"/>
        <w:tblGridChange w:id="0">
          <w:tblGrid>
            <w:gridCol w:w="1400"/>
            <w:gridCol w:w="1660"/>
            <w:gridCol w:w="2260"/>
            <w:gridCol w:w="262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RUT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Estado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Valor Total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20121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</w:t>
            </w:r>
            <w:r w:rsidDel="00000000" w:rsidR="00000000" w:rsidRPr="00000000">
              <w:rPr>
                <w:rtl w:val="0"/>
              </w:rPr>
              <w:t xml:space="preserve">1.811.014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20122S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</w:t>
            </w:r>
            <w:r w:rsidDel="00000000" w:rsidR="00000000" w:rsidRPr="00000000">
              <w:rPr>
                <w:rtl w:val="0"/>
              </w:rPr>
              <w:t xml:space="preserve">1.775.141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131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</w:t>
            </w:r>
            <w:r w:rsidDel="00000000" w:rsidR="00000000" w:rsidRPr="00000000">
              <w:rPr>
                <w:rtl w:val="0"/>
              </w:rPr>
              <w:t xml:space="preserve">1.737.823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20132S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76201924-8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$        67.918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141S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     </w:t>
            </w:r>
            <w:r w:rsidDel="00000000" w:rsidR="00000000" w:rsidRPr="00000000">
              <w:rPr>
                <w:rtl w:val="0"/>
              </w:rPr>
              <w:t xml:space="preserve">66.405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      </w:t>
            </w:r>
            <w:r w:rsidDel="00000000" w:rsidR="00000000" w:rsidRPr="00000000">
              <w:rPr>
                <w:rtl w:val="0"/>
              </w:rPr>
              <w:t xml:space="preserve">63.985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       </w:t>
            </w:r>
            <w:r w:rsidDel="00000000" w:rsidR="00000000" w:rsidRPr="00000000">
              <w:rPr>
                <w:rtl w:val="0"/>
              </w:rPr>
              <w:t xml:space="preserve">62.564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</w:t>
            </w:r>
            <w:r w:rsidDel="00000000" w:rsidR="00000000" w:rsidRPr="00000000">
              <w:rPr>
                <w:rtl w:val="0"/>
              </w:rPr>
              <w:t xml:space="preserve">1.438.456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1.407.280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$   </w:t>
            </w:r>
            <w:r w:rsidDel="00000000" w:rsidR="00000000" w:rsidRPr="00000000">
              <w:rPr>
                <w:rtl w:val="0"/>
              </w:rPr>
              <w:t xml:space="preserve">1.393.830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$   </w:t>
            </w:r>
            <w:r w:rsidDel="00000000" w:rsidR="00000000" w:rsidRPr="00000000">
              <w:rPr>
                <w:rtl w:val="0"/>
              </w:rPr>
              <w:t xml:space="preserve">1.362.128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1.285.258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1.255.738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1.237.642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1.207.569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$   </w:t>
            </w:r>
            <w:r w:rsidDel="00000000" w:rsidR="00000000" w:rsidRPr="00000000">
              <w:rPr>
                <w:rtl w:val="0"/>
              </w:rPr>
              <w:t xml:space="preserve">1.190.355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</w:t>
            </w:r>
            <w:r w:rsidDel="00000000" w:rsidR="00000000" w:rsidRPr="00000000">
              <w:rPr>
                <w:rtl w:val="0"/>
              </w:rPr>
              <w:t xml:space="preserve">1.162.335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1.201.410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1.173.961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76201924-8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Girado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$   </w:t>
            </w:r>
            <w:r w:rsidDel="00000000" w:rsidR="00000000" w:rsidRPr="00000000">
              <w:rPr>
                <w:rtl w:val="0"/>
              </w:rPr>
              <w:t xml:space="preserve">1.144.578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</w:t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1140"/>
        </w:tabs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140"/>
        </w:tabs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adjunta:          </w:t>
      </w:r>
      <w:r w:rsidDel="00000000" w:rsidR="00000000" w:rsidRPr="00000000">
        <w:rPr>
          <w:b w:val="1"/>
          <w:bCs w:val="1"/>
          <w:smallCaps w:val="1"/>
          <w:sz w:val="24"/>
          <w:szCs w:val="24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Sentencia Causa Rol C-</w:t>
      </w:r>
      <w:r w:rsidDel="00000000" w:rsidR="00000000" w:rsidRPr="00000000">
        <w:rPr>
          <w:sz w:val="24"/>
          <w:szCs w:val="24"/>
          <w:rtl w:val="0"/>
        </w:rPr>
        <w:t xml:space="preserve">1804-2024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</w:t>
      </w:r>
      <w:r w:rsidDel="00000000" w:rsidR="00000000" w:rsidRPr="00000000">
        <w:rPr>
          <w:sz w:val="24"/>
          <w:szCs w:val="24"/>
          <w:rtl w:val="0"/>
        </w:rPr>
        <w:t xml:space="preserve">21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Marzo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del </w:t>
      </w:r>
      <w:r w:rsidDel="00000000" w:rsidR="00000000" w:rsidRPr="00000000">
        <w:rPr>
          <w:sz w:val="24"/>
          <w:szCs w:val="24"/>
          <w:rtl w:val="0"/>
        </w:rPr>
        <w:t xml:space="preserve">Segundo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Juzgado de Letras de Quillota.</w:t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Certificado de ejecutoriedad del fallo dictado en Causa Rol C- </w:t>
      </w:r>
      <w:r w:rsidDel="00000000" w:rsidR="00000000" w:rsidRPr="00000000">
        <w:rPr>
          <w:sz w:val="24"/>
          <w:szCs w:val="24"/>
          <w:rtl w:val="0"/>
        </w:rPr>
        <w:t xml:space="preserve">1804-2024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de 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junio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 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David  Villegas Figuero</w:t>
      </w:r>
      <w:r w:rsidDel="00000000" w:rsidR="00000000" w:rsidRPr="00000000">
        <w:rPr>
          <w:sz w:val="24"/>
          <w:szCs w:val="24"/>
          <w:rtl w:val="0"/>
        </w:rPr>
        <w:t xml:space="preserve">a,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Secretari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Subrogante del </w:t>
      </w:r>
      <w:r w:rsidDel="00000000" w:rsidR="00000000" w:rsidRPr="00000000">
        <w:rPr>
          <w:sz w:val="24"/>
          <w:szCs w:val="24"/>
          <w:rtl w:val="0"/>
        </w:rPr>
        <w:t xml:space="preserve">Segundo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Juzgado de Letras de Quillota.</w:t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Reporte del Sistema de Patente Rol N°</w:t>
      </w:r>
      <w:r w:rsidDel="00000000" w:rsidR="00000000" w:rsidRPr="00000000">
        <w:rPr>
          <w:sz w:val="24"/>
          <w:szCs w:val="24"/>
          <w:rtl w:val="0"/>
        </w:rPr>
        <w:t xml:space="preserve">241597-6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fecha </w:t>
      </w:r>
      <w:r w:rsidDel="00000000" w:rsidR="00000000" w:rsidRPr="00000000">
        <w:rPr>
          <w:sz w:val="24"/>
          <w:szCs w:val="24"/>
          <w:rtl w:val="0"/>
        </w:rPr>
        <w:t xml:space="preserve">12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Noviembre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2025, con detalle de períodos solicitados para descargo.</w:t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CONCLUSIÓN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 DE LA ENCARGADA DE LA UNIDAD DE GESTIÓN DE COBRANZA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cumple con los requisitos necesarios para descargar las órdenes de ingresos, de la patente comercial indicada.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753.000000000001" w:tblpY="297"/>
        <w:tblW w:w="3085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085"/>
        <w:tblGridChange w:id="0">
          <w:tblGrid>
            <w:gridCol w:w="30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MARCELA BERRUETA VASQUEZ ENCARGADA UNIDAD DE GESTIÓN DE COBRANZAS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Distribución: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Administración y Finanzas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Archivo Cobranzas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MBV/</w:t>
      </w:r>
      <w:r w:rsidDel="00000000" w:rsidR="00000000" w:rsidRPr="00000000">
        <w:rPr>
          <w:sz w:val="18"/>
          <w:szCs w:val="18"/>
          <w:rtl w:val="0"/>
        </w:rPr>
        <w:t xml:space="preserve">aml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1418" w:top="1418" w:left="1701" w:right="1701" w:header="425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c0c0c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c0c0c0"/>
        <w:sz w:val="18"/>
        <w:szCs w:val="18"/>
        <w:u w:val="none"/>
        <w:shd w:fill="auto" w:val="clear"/>
        <w:vertAlign w:val="baseline"/>
        <w:rtl w:val="0"/>
      </w:rPr>
      <w:t xml:space="preserve">UNIDAD DE GESTIÓN DE COBRANZAS - TELÉFONO:(33)2 291116-(33)2291168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tabs>
        <w:tab w:val="right" w:leader="none" w:pos="10065"/>
      </w:tabs>
      <w:spacing w:after="0" w:line="240" w:lineRule="auto"/>
      <w:jc w:val="center"/>
      <w:rPr>
        <w:rFonts w:ascii="Times New Roman" w:cs="Times New Roman" w:eastAsia="Times New Roman" w:hAnsi="Times New Roman"/>
        <w:b w:val="0"/>
        <w:bCs w:val="0"/>
        <w:sz w:val="16"/>
        <w:szCs w:val="16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678180" cy="74041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180" cy="7404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Sombreadoclaro-Énfasis5">
    <w:name w:val="Sombreado claro - Énfasis 5"/>
    <w:basedOn w:val="Tablanormal"/>
    <w:next w:val="Sombreadoclaro-Énfasis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31849b"/>
      <w:w w:val="100"/>
      <w:position w:val="-1"/>
      <w:effect w:val="none"/>
      <w:vertAlign w:val="baseline"/>
      <w:cs w:val="0"/>
      <w:em w:val="none"/>
      <w:lang/>
    </w:rPr>
    <w:tblPr>
      <w:tblStyle w:val="Sombreadoclaro-Énfasis5"/>
      <w:tblStyleRowBandSize w:val="1"/>
      <w:tblStyleColBandSize w:val="1"/>
      <w:jc w:val="left"/>
      <w:tblBorders>
        <w:top w:color="4bacc6" w:space="0" w:sz="8" w:val="single"/>
        <w:left w:color="auto" w:space="0" w:sz="0" w:val="none"/>
        <w:bottom w:color="4bacc6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Cuadrículamedia2-Énfasis5">
    <w:name w:val="Cuadrícula media 2 - Énfasis 5"/>
    <w:basedOn w:val="Tablanormal"/>
    <w:next w:val="Cuadrículamedia2-Énfasis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color w:val="000000"/>
      <w:w w:val="100"/>
      <w:position w:val="-1"/>
      <w:effect w:val="none"/>
      <w:vertAlign w:val="baseline"/>
      <w:cs w:val="0"/>
      <w:em w:val="none"/>
      <w:lang/>
    </w:rPr>
    <w:tblPr>
      <w:tblStyle w:val="Cuadrículamedia2-Énfasis5"/>
      <w:tblStyleRowBandSize w:val="1"/>
      <w:tblStyleColBandSize w:val="1"/>
      <w:jc w:val="left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</w:style>
  <w:style w:type="table" w:styleId="Cuadrículamedia21">
    <w:name w:val="Cuadrícula media 21"/>
    <w:basedOn w:val="Tablanormal"/>
    <w:next w:val="Cuadrículamedia2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color w:val="000000"/>
      <w:w w:val="100"/>
      <w:position w:val="-1"/>
      <w:effect w:val="none"/>
      <w:vertAlign w:val="baseline"/>
      <w:cs w:val="0"/>
      <w:em w:val="none"/>
      <w:lang/>
    </w:rPr>
    <w:tblPr>
      <w:tblStyle w:val="Cuadrículamedia21"/>
      <w:tblStyleRowBandSize w:val="1"/>
      <w:tblStyleColBandSize w:val="1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Puesto,Título">
    <w:name w:val="Puesto,Título"/>
    <w:basedOn w:val="Normal"/>
    <w:next w:val="Normal"/>
    <w:autoRedefine w:val="0"/>
    <w:hidden w:val="0"/>
    <w:qFormat w:val="0"/>
    <w:pPr>
      <w:pBdr>
        <w:bottom w:color="4f81bd" w:space="4" w:sz="8" w:val="single"/>
      </w:pBdr>
      <w:suppressAutoHyphens w:val="1"/>
      <w:spacing w:after="3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mbria" w:eastAsia="Times New Roman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bidi="ar-SA" w:eastAsia="und" w:val="und"/>
    </w:rPr>
  </w:style>
  <w:style w:type="character" w:styleId="TítuloCar">
    <w:name w:val="Título Car"/>
    <w:next w:val="TítuloCar"/>
    <w:autoRedefine w:val="0"/>
    <w:hidden w:val="0"/>
    <w:qFormat w:val="0"/>
    <w:rPr>
      <w:rFonts w:ascii="Cambria" w:cs="Times New Roman" w:eastAsia="Times New Roman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/>
    </w:rPr>
  </w:style>
  <w:style w:type="paragraph" w:styleId="Encabezadodemensaje">
    <w:name w:val="Encabezado de mensaje"/>
    <w:basedOn w:val="Textoindependiente"/>
    <w:next w:val="Encabezadodemensaje"/>
    <w:autoRedefine w:val="0"/>
    <w:hidden w:val="0"/>
    <w:qFormat w:val="0"/>
    <w:pPr>
      <w:keepLines w:val="1"/>
      <w:suppressAutoHyphens w:val="1"/>
      <w:spacing w:after="120" w:line="240" w:lineRule="atLeast"/>
      <w:ind w:left="1080" w:leftChars="-1" w:rightChars="0" w:hanging="1080" w:firstLineChars="-1"/>
      <w:textDirection w:val="btLr"/>
      <w:textAlignment w:val="top"/>
      <w:outlineLvl w:val="0"/>
    </w:pPr>
    <w:rPr>
      <w:rFonts w:ascii="Garamond" w:cs="Garamond" w:eastAsia="Times New Roman" w:hAnsi="Garamond"/>
      <w:caps w:val="1"/>
      <w:w w:val="100"/>
      <w:position w:val="-1"/>
      <w:sz w:val="18"/>
      <w:szCs w:val="18"/>
      <w:effect w:val="none"/>
      <w:vertAlign w:val="baseline"/>
      <w:cs w:val="0"/>
      <w:em w:val="none"/>
      <w:lang w:bidi="hi-IN" w:eastAsia="es-ES" w:val="en-US"/>
    </w:rPr>
  </w:style>
  <w:style w:type="character" w:styleId="EncabezadodemensajeCar">
    <w:name w:val="Encabezado de mensaje Car"/>
    <w:next w:val="EncabezadodemensajeCar"/>
    <w:autoRedefine w:val="0"/>
    <w:hidden w:val="0"/>
    <w:qFormat w:val="0"/>
    <w:rPr>
      <w:rFonts w:ascii="Garamond" w:cs="Garamond" w:eastAsia="Times New Roman" w:hAnsi="Garamond"/>
      <w:caps w:val="1"/>
      <w:w w:val="100"/>
      <w:position w:val="-1"/>
      <w:sz w:val="18"/>
      <w:szCs w:val="18"/>
      <w:effect w:val="none"/>
      <w:vertAlign w:val="baseline"/>
      <w:cs w:val="0"/>
      <w:em w:val="none"/>
      <w:lang w:bidi="hi-IN" w:eastAsia="es-ES" w:val="en-US"/>
    </w:rPr>
  </w:style>
  <w:style w:type="character" w:styleId="MessageHeaderLabel">
    <w:name w:val="Message Header Label"/>
    <w:next w:val="MessageHeaderLabel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 w:bidi="es-ES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TextoindependienteCar">
    <w:name w:val="Texto independiente Car"/>
    <w:basedOn w:val="Fuentedepárrafopredeter."/>
    <w:next w:val="Textoindependien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s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K773e+/lEK27QYp0pkSfkXw4Q==">CgMxLjA4AHIhMVl2Q3pvTU1SQ3lNaGVzX05OdUthM2FvMHJBN1BBMVpZ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2025-09-25T12:05:00Z</dcterms:created>
  <dc:creator>RENTAS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-1875656024</vt:i4>
  </property>
</Properties>
</file>