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7BFCAB04" w14:textId="77777777" w:rsidR="001E15D7" w:rsidRDefault="001E15D7" w:rsidP="001E15D7">
      <w:pPr>
        <w:spacing w:after="0" w:line="240" w:lineRule="auto"/>
        <w:jc w:val="both"/>
        <w:rPr>
          <w:rFonts w:ascii="Arial" w:eastAsia="Arial" w:hAnsi="Arial" w:cs="Arial"/>
          <w:b/>
          <w:color w:val="000000"/>
          <w:sz w:val="24"/>
          <w:szCs w:val="24"/>
          <w:u w:val="single"/>
        </w:rPr>
      </w:pPr>
    </w:p>
    <w:p w14:paraId="7011F54E" w14:textId="77777777" w:rsidR="001E15D7" w:rsidRDefault="001E15D7" w:rsidP="001E15D7">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35D00A13" w14:textId="77777777" w:rsidR="00E66DF0" w:rsidRDefault="00E66DF0" w:rsidP="001E15D7">
      <w:pPr>
        <w:spacing w:after="0" w:line="240" w:lineRule="auto"/>
        <w:jc w:val="both"/>
        <w:rPr>
          <w:rFonts w:ascii="Arial" w:eastAsia="Arial" w:hAnsi="Arial" w:cs="Arial"/>
          <w:b/>
          <w:color w:val="000000"/>
          <w:sz w:val="24"/>
          <w:szCs w:val="24"/>
          <w:u w:val="single"/>
        </w:rPr>
      </w:pPr>
    </w:p>
    <w:p w14:paraId="4BD7CAC2" w14:textId="63DE9C0B" w:rsidR="00690E62" w:rsidRPr="00E66DF0" w:rsidRDefault="00690E62" w:rsidP="00E66DF0">
      <w:pPr>
        <w:widowControl w:val="0"/>
        <w:numPr>
          <w:ilvl w:val="0"/>
          <w:numId w:val="2"/>
        </w:numPr>
        <w:autoSpaceDE w:val="0"/>
        <w:autoSpaceDN w:val="0"/>
        <w:spacing w:after="0" w:line="240" w:lineRule="auto"/>
        <w:jc w:val="both"/>
        <w:rPr>
          <w:rFonts w:ascii="Arial MT" w:eastAsia="Arial MT" w:hAnsi="Arial MT" w:cs="Arial MT"/>
        </w:rPr>
      </w:pPr>
      <w:r w:rsidRPr="00E66DF0">
        <w:rPr>
          <w:rFonts w:ascii="Arial MT" w:eastAsia="Arial MT" w:hAnsi="Arial MT" w:cs="Arial MT"/>
        </w:rPr>
        <w:t xml:space="preserve">Solicitud de </w:t>
      </w:r>
      <w:r w:rsidR="001C69A9" w:rsidRPr="00E66DF0">
        <w:rPr>
          <w:rFonts w:ascii="Arial MT" w:eastAsia="Arial MT" w:hAnsi="Arial MT" w:cs="Arial MT"/>
        </w:rPr>
        <w:t>ampliación</w:t>
      </w:r>
      <w:r w:rsidR="00E461B2" w:rsidRPr="00E66DF0">
        <w:rPr>
          <w:rFonts w:ascii="Arial MT" w:eastAsia="Arial MT" w:hAnsi="Arial MT" w:cs="Arial MT"/>
        </w:rPr>
        <w:t xml:space="preserve"> de giro de p</w:t>
      </w:r>
      <w:r w:rsidRPr="00E66DF0">
        <w:rPr>
          <w:rFonts w:ascii="Arial MT" w:eastAsia="Arial MT" w:hAnsi="Arial MT" w:cs="Arial MT"/>
        </w:rPr>
        <w:t xml:space="preserve">atente </w:t>
      </w:r>
      <w:r w:rsidR="00F21D65">
        <w:rPr>
          <w:rFonts w:ascii="Arial MT" w:eastAsia="Arial MT" w:hAnsi="Arial MT" w:cs="Arial MT"/>
        </w:rPr>
        <w:t xml:space="preserve">comercial </w:t>
      </w:r>
      <w:r w:rsidR="00E461B2" w:rsidRPr="00E66DF0">
        <w:rPr>
          <w:rFonts w:ascii="Arial MT" w:eastAsia="Arial MT" w:hAnsi="Arial MT" w:cs="Arial MT"/>
        </w:rPr>
        <w:t>Rol N°</w:t>
      </w:r>
      <w:r w:rsidR="00F21D65">
        <w:rPr>
          <w:rFonts w:ascii="Arial MT" w:eastAsia="Arial MT" w:hAnsi="Arial MT" w:cs="Arial MT"/>
        </w:rPr>
        <w:t>239437-5</w:t>
      </w:r>
      <w:r w:rsidR="00E66DF0">
        <w:rPr>
          <w:rFonts w:ascii="Arial MT" w:eastAsia="Arial MT" w:hAnsi="Arial MT" w:cs="Arial MT"/>
        </w:rPr>
        <w:t>,</w:t>
      </w:r>
      <w:r w:rsidR="00E461B2" w:rsidRPr="00E66DF0">
        <w:rPr>
          <w:rFonts w:ascii="Arial MT" w:eastAsia="Arial MT" w:hAnsi="Arial MT" w:cs="Arial MT"/>
        </w:rPr>
        <w:t xml:space="preserve"> </w:t>
      </w:r>
      <w:r w:rsidRPr="00E66DF0">
        <w:rPr>
          <w:rFonts w:ascii="Arial MT" w:eastAsia="Arial MT" w:hAnsi="Arial MT" w:cs="Arial MT"/>
        </w:rPr>
        <w:t xml:space="preserve">presentada por </w:t>
      </w:r>
      <w:r w:rsidR="00F21D65">
        <w:rPr>
          <w:rFonts w:ascii="Arial MT" w:eastAsia="Arial MT" w:hAnsi="Arial MT" w:cs="Arial MT"/>
          <w:b/>
        </w:rPr>
        <w:t>COMERCIAL YILONG CHILE LIMITADA</w:t>
      </w:r>
      <w:r w:rsidRPr="00E66DF0">
        <w:rPr>
          <w:rFonts w:ascii="Arial MT" w:eastAsia="Arial MT" w:hAnsi="Arial MT" w:cs="Arial MT"/>
          <w:b/>
        </w:rPr>
        <w:t xml:space="preserve">, RUT </w:t>
      </w:r>
      <w:r w:rsidR="00F21D65">
        <w:rPr>
          <w:rFonts w:ascii="Arial MT" w:eastAsia="Arial MT" w:hAnsi="Arial MT" w:cs="Arial MT"/>
          <w:b/>
        </w:rPr>
        <w:t>77.027.869-4</w:t>
      </w:r>
      <w:r w:rsidRPr="00E66DF0">
        <w:rPr>
          <w:rFonts w:ascii="Arial MT" w:eastAsia="Arial MT" w:hAnsi="Arial MT" w:cs="Arial MT"/>
        </w:rPr>
        <w:t xml:space="preserve">, para </w:t>
      </w:r>
      <w:r w:rsidR="00ED233B" w:rsidRPr="00E66DF0">
        <w:rPr>
          <w:rFonts w:ascii="Arial MT" w:eastAsia="Arial MT" w:hAnsi="Arial MT" w:cs="Arial MT"/>
        </w:rPr>
        <w:t>ejercer una actividad lucrativa en</w:t>
      </w:r>
      <w:r w:rsidR="007F7AA1" w:rsidRPr="00E66DF0">
        <w:rPr>
          <w:rFonts w:ascii="Arial MT" w:eastAsia="Arial MT" w:hAnsi="Arial MT" w:cs="Arial MT"/>
        </w:rPr>
        <w:t xml:space="preserve"> </w:t>
      </w:r>
      <w:r w:rsidRPr="00E66DF0">
        <w:rPr>
          <w:rFonts w:ascii="Arial MT" w:eastAsia="Arial MT" w:hAnsi="Arial MT" w:cs="Arial MT"/>
        </w:rPr>
        <w:t xml:space="preserve">la dirección </w:t>
      </w:r>
      <w:r w:rsidR="00F21D65">
        <w:rPr>
          <w:rFonts w:ascii="Arial MT" w:eastAsia="Arial MT" w:hAnsi="Arial MT" w:cs="Arial MT"/>
          <w:b/>
        </w:rPr>
        <w:t>CALLE ARTURO PRAT N°61,</w:t>
      </w:r>
      <w:r w:rsidRPr="00E66DF0">
        <w:rPr>
          <w:rFonts w:ascii="Arial MT" w:eastAsia="Arial MT" w:hAnsi="Arial MT" w:cs="Arial MT"/>
        </w:rPr>
        <w:t xml:space="preserve"> comuna de Quillota, de Giro </w:t>
      </w:r>
      <w:r w:rsidR="00335CF3">
        <w:rPr>
          <w:rFonts w:ascii="Arial MT" w:eastAsia="Arial MT" w:hAnsi="Arial MT" w:cs="Arial MT"/>
        </w:rPr>
        <w:t>Venta de vestuario y artículos para el hogar, e</w:t>
      </w:r>
      <w:r w:rsidR="00F21D65">
        <w:rPr>
          <w:rFonts w:ascii="Arial MT" w:eastAsia="Arial MT" w:hAnsi="Arial MT" w:cs="Arial MT"/>
        </w:rPr>
        <w:t>xpendio de alimentos que no requieren refrigeración</w:t>
      </w:r>
      <w:r w:rsidR="002D005B" w:rsidRPr="00E66DF0">
        <w:rPr>
          <w:rFonts w:ascii="Arial MT" w:eastAsia="Arial MT" w:hAnsi="Arial MT" w:cs="Arial MT"/>
        </w:rPr>
        <w:t>;</w:t>
      </w:r>
      <w:r w:rsidRPr="00E66DF0">
        <w:rPr>
          <w:rFonts w:ascii="Arial MT" w:eastAsia="Arial MT" w:hAnsi="Arial MT" w:cs="Arial MT"/>
        </w:rPr>
        <w:t xml:space="preserve"> la documentación adjunta a la misma, en la que consta haber dado cumplimiento a los requerimientos exigidos para este trámite, los que se encuentran debidamente validados por </w:t>
      </w:r>
      <w:r w:rsidR="00335CF3">
        <w:rPr>
          <w:rFonts w:ascii="Arial MT" w:eastAsia="Arial MT" w:hAnsi="Arial MT" w:cs="Arial MT"/>
        </w:rPr>
        <w:t xml:space="preserve">la Encargada de Rentas y </w:t>
      </w:r>
      <w:r w:rsidRPr="00E66DF0">
        <w:rPr>
          <w:rFonts w:ascii="Arial MT" w:eastAsia="Arial MT" w:hAnsi="Arial MT" w:cs="Arial MT"/>
        </w:rPr>
        <w:t>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bookmarkStart w:id="0" w:name="_GoBack"/>
      <w:bookmarkEnd w:id="0"/>
    </w:p>
    <w:p w14:paraId="46F86DC9" w14:textId="775E1CBE" w:rsidR="00021FE4" w:rsidRDefault="00690E62" w:rsidP="00E66DF0">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0818EAB" w14:textId="77777777" w:rsidR="00E66DF0" w:rsidRPr="00E66DF0" w:rsidRDefault="00E66DF0" w:rsidP="00E66DF0">
      <w:pPr>
        <w:widowControl w:val="0"/>
        <w:autoSpaceDE w:val="0"/>
        <w:autoSpaceDN w:val="0"/>
        <w:spacing w:after="0" w:line="240" w:lineRule="auto"/>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0468EF94"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570C61">
        <w:rPr>
          <w:rFonts w:ascii="Arial MT" w:eastAsia="Arial MT" w:hAnsi="Arial MT" w:cs="Arial MT"/>
        </w:rPr>
        <w:t>ad para firmar, bajo la fórmula</w:t>
      </w:r>
      <w:r w:rsidRPr="00E02979">
        <w:rPr>
          <w:rFonts w:ascii="Arial MT" w:eastAsia="Arial MT" w:hAnsi="Arial MT" w:cs="Arial MT"/>
        </w:rPr>
        <w:t xml:space="preserve"> </w:t>
      </w:r>
      <w:r w:rsidR="00570C61">
        <w:rPr>
          <w:rFonts w:ascii="Arial MT" w:eastAsia="Arial MT" w:hAnsi="Arial MT" w:cs="Arial MT"/>
        </w:rPr>
        <w:t>“</w:t>
      </w:r>
      <w:r w:rsidRPr="00E02979">
        <w:rPr>
          <w:rFonts w:ascii="Arial MT" w:eastAsia="Arial MT" w:hAnsi="Arial MT" w:cs="Arial MT"/>
        </w:rPr>
        <w:t>por orden del alcalde”, sobre materias específicas;</w:t>
      </w:r>
    </w:p>
    <w:p w14:paraId="3BA5FB7E" w14:textId="77777777" w:rsidR="00690E62" w:rsidRDefault="00690E62">
      <w:pPr>
        <w:spacing w:after="240" w:line="240" w:lineRule="auto"/>
        <w:jc w:val="center"/>
        <w:rPr>
          <w:rFonts w:ascii="Arial" w:eastAsia="Arial" w:hAnsi="Arial" w:cs="Arial"/>
          <w:b/>
          <w:color w:val="000000"/>
          <w:sz w:val="24"/>
          <w:szCs w:val="24"/>
          <w:u w:val="single"/>
        </w:rPr>
      </w:pPr>
    </w:p>
    <w:p w14:paraId="32A3107E" w14:textId="77777777" w:rsidR="001C69A9" w:rsidRDefault="001C69A9">
      <w:pPr>
        <w:spacing w:after="240" w:line="240" w:lineRule="auto"/>
        <w:jc w:val="center"/>
        <w:rPr>
          <w:rFonts w:ascii="Arial" w:eastAsia="Arial" w:hAnsi="Arial" w:cs="Arial"/>
          <w:b/>
          <w:color w:val="000000"/>
          <w:sz w:val="24"/>
          <w:szCs w:val="24"/>
          <w:u w:val="single"/>
        </w:rPr>
      </w:pPr>
    </w:p>
    <w:p w14:paraId="34BC73B6" w14:textId="77777777" w:rsidR="001C69A9" w:rsidRDefault="001C69A9">
      <w:pPr>
        <w:spacing w:after="240" w:line="240" w:lineRule="auto"/>
        <w:jc w:val="center"/>
        <w:rPr>
          <w:rFonts w:ascii="Arial" w:eastAsia="Arial" w:hAnsi="Arial" w:cs="Arial"/>
          <w:b/>
          <w:color w:val="000000"/>
          <w:sz w:val="24"/>
          <w:szCs w:val="24"/>
          <w:u w:val="single"/>
        </w:rPr>
      </w:pPr>
    </w:p>
    <w:p w14:paraId="69ADECA2" w14:textId="77777777" w:rsidR="00690E62" w:rsidRDefault="00690E62">
      <w:pPr>
        <w:spacing w:after="240" w:line="240" w:lineRule="auto"/>
        <w:jc w:val="center"/>
        <w:rPr>
          <w:rFonts w:ascii="Arial" w:eastAsia="Arial" w:hAnsi="Arial" w:cs="Arial"/>
          <w:b/>
          <w:color w:val="000000"/>
          <w:sz w:val="24"/>
          <w:szCs w:val="24"/>
          <w:u w:val="single"/>
        </w:rPr>
      </w:pPr>
    </w:p>
    <w:p w14:paraId="1FACFFFF" w14:textId="77777777" w:rsidR="002E526C" w:rsidRDefault="002E526C">
      <w:pPr>
        <w:spacing w:after="240" w:line="240" w:lineRule="auto"/>
        <w:jc w:val="center"/>
        <w:rPr>
          <w:rFonts w:ascii="Arial" w:eastAsia="Arial" w:hAnsi="Arial" w:cs="Arial"/>
          <w:b/>
          <w:color w:val="000000"/>
          <w:sz w:val="24"/>
          <w:szCs w:val="24"/>
          <w:u w:val="single"/>
        </w:rPr>
      </w:pPr>
    </w:p>
    <w:p w14:paraId="43067804" w14:textId="77777777" w:rsidR="00A54A02" w:rsidRDefault="00A54A02">
      <w:pPr>
        <w:spacing w:after="240" w:line="240" w:lineRule="auto"/>
        <w:jc w:val="center"/>
        <w:rPr>
          <w:rFonts w:ascii="Arial" w:eastAsia="Arial" w:hAnsi="Arial" w:cs="Arial"/>
          <w:b/>
          <w:color w:val="000000"/>
          <w:sz w:val="24"/>
          <w:szCs w:val="24"/>
          <w:u w:val="single"/>
        </w:rPr>
      </w:pPr>
    </w:p>
    <w:p w14:paraId="505BF737" w14:textId="77777777" w:rsidR="00690E62" w:rsidRDefault="00690E62">
      <w:pPr>
        <w:spacing w:after="240" w:line="240" w:lineRule="auto"/>
        <w:jc w:val="center"/>
        <w:rPr>
          <w:rFonts w:ascii="Arial" w:eastAsia="Arial" w:hAnsi="Arial" w:cs="Arial"/>
          <w:b/>
          <w:color w:val="000000"/>
          <w:sz w:val="24"/>
          <w:szCs w:val="24"/>
          <w:u w:val="single"/>
        </w:rPr>
      </w:pPr>
    </w:p>
    <w:p w14:paraId="7327D630" w14:textId="77777777" w:rsidR="00690E62" w:rsidRDefault="00690E62">
      <w:pPr>
        <w:spacing w:after="240" w:line="240" w:lineRule="auto"/>
        <w:jc w:val="center"/>
        <w:rPr>
          <w:rFonts w:ascii="Arial" w:eastAsia="Arial" w:hAnsi="Arial" w:cs="Arial"/>
          <w:b/>
          <w:color w:val="000000"/>
          <w:sz w:val="24"/>
          <w:szCs w:val="24"/>
          <w:u w:val="single"/>
        </w:rPr>
      </w:pPr>
    </w:p>
    <w:p w14:paraId="221C5824" w14:textId="77777777" w:rsidR="00E66DF0" w:rsidRDefault="00E66DF0">
      <w:pPr>
        <w:spacing w:after="240" w:line="240" w:lineRule="auto"/>
        <w:jc w:val="center"/>
        <w:rPr>
          <w:rFonts w:ascii="Arial" w:eastAsia="Arial" w:hAnsi="Arial" w:cs="Arial"/>
          <w:b/>
          <w:color w:val="000000"/>
          <w:sz w:val="24"/>
          <w:szCs w:val="24"/>
          <w:u w:val="single"/>
        </w:rPr>
      </w:pPr>
    </w:p>
    <w:p w14:paraId="1FEBC529" w14:textId="77777777" w:rsidR="00F21D65" w:rsidRDefault="00F21D65">
      <w:pPr>
        <w:spacing w:after="240" w:line="240" w:lineRule="auto"/>
        <w:jc w:val="center"/>
        <w:rPr>
          <w:rFonts w:ascii="Arial" w:eastAsia="Arial" w:hAnsi="Arial" w:cs="Arial"/>
          <w:b/>
          <w:color w:val="000000"/>
          <w:sz w:val="24"/>
          <w:szCs w:val="2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0E5F70"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16"/>
          <w:szCs w:val="16"/>
        </w:rPr>
      </w:pPr>
    </w:p>
    <w:p w14:paraId="08958E7F" w14:textId="4EA77C0C"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E461B2">
        <w:rPr>
          <w:rFonts w:ascii="Arial" w:eastAsia="Arial MT" w:hAnsi="Arial" w:cs="Arial MT"/>
          <w:b/>
          <w:spacing w:val="-1"/>
        </w:rPr>
        <w:t>APRUÉBASE</w:t>
      </w:r>
      <w:r w:rsidRPr="008C137B">
        <w:rPr>
          <w:rFonts w:ascii="Arial" w:eastAsia="Arial MT" w:hAnsi="Arial" w:cs="Arial MT"/>
          <w:b/>
          <w:spacing w:val="-1"/>
        </w:rPr>
        <w:t xml:space="preserve"> </w:t>
      </w:r>
      <w:r w:rsidR="001C69A9">
        <w:rPr>
          <w:rFonts w:ascii="Arial" w:eastAsia="Arial MT" w:hAnsi="Arial" w:cs="Arial MT"/>
          <w:b/>
          <w:spacing w:val="-1"/>
        </w:rPr>
        <w:t>AMPLIACIÓN</w:t>
      </w:r>
      <w:r w:rsidR="00E461B2">
        <w:rPr>
          <w:rFonts w:ascii="Arial" w:eastAsia="Arial MT" w:hAnsi="Arial" w:cs="Arial MT"/>
          <w:b/>
          <w:spacing w:val="-1"/>
        </w:rPr>
        <w:t xml:space="preserve"> DE GIRO </w:t>
      </w:r>
      <w:r w:rsidR="00570C61">
        <w:rPr>
          <w:rFonts w:ascii="Arial" w:eastAsia="Arial MT" w:hAnsi="Arial" w:cs="Arial MT"/>
          <w:b/>
          <w:spacing w:val="-1"/>
        </w:rPr>
        <w:t xml:space="preserve">PRINCIPAL </w:t>
      </w:r>
      <w:r w:rsidR="00E461B2">
        <w:rPr>
          <w:rFonts w:ascii="Arial" w:eastAsia="Arial MT" w:hAnsi="Arial" w:cs="Arial MT"/>
          <w:b/>
          <w:spacing w:val="-1"/>
        </w:rPr>
        <w:t xml:space="preserve">DE </w:t>
      </w:r>
      <w:r w:rsidRPr="008C137B">
        <w:rPr>
          <w:rFonts w:ascii="Arial" w:eastAsia="Arial MT" w:hAnsi="Arial" w:cs="Arial MT"/>
          <w:b/>
          <w:spacing w:val="-1"/>
        </w:rPr>
        <w:t xml:space="preserve">PATENTE </w:t>
      </w:r>
      <w:r w:rsidR="00F21D65">
        <w:rPr>
          <w:rFonts w:ascii="Arial" w:eastAsia="Arial MT" w:hAnsi="Arial" w:cs="Arial MT"/>
          <w:b/>
          <w:spacing w:val="-1"/>
        </w:rPr>
        <w:t>COMERCIAL</w:t>
      </w:r>
    </w:p>
    <w:p w14:paraId="430EF876" w14:textId="77777777" w:rsidR="00690E62" w:rsidRPr="00690E62" w:rsidRDefault="00690E62" w:rsidP="000E5F70">
      <w:pPr>
        <w:widowControl w:val="0"/>
        <w:tabs>
          <w:tab w:val="left" w:pos="2651"/>
          <w:tab w:val="left" w:pos="3119"/>
          <w:tab w:val="left" w:pos="3261"/>
        </w:tabs>
        <w:autoSpaceDE w:val="0"/>
        <w:autoSpaceDN w:val="0"/>
        <w:spacing w:after="7" w:line="240" w:lineRule="auto"/>
        <w:jc w:val="both"/>
        <w:rPr>
          <w:rFonts w:ascii="Arial MT" w:eastAsia="Arial MT" w:hAnsi="Arial MT" w:cs="Arial MT"/>
          <w:sz w:val="16"/>
          <w:szCs w:val="16"/>
        </w:rPr>
      </w:pPr>
    </w:p>
    <w:tbl>
      <w:tblPr>
        <w:tblpPr w:leftFromText="142" w:rightFromText="142" w:vertAnchor="text" w:horzAnchor="margin" w:tblpXSpec="center" w:tblpY="14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124"/>
      </w:tblGrid>
      <w:tr w:rsidR="00E461B2" w:rsidRPr="008C137B" w14:paraId="5FA9F503" w14:textId="77777777" w:rsidTr="00E461B2">
        <w:trPr>
          <w:trHeight w:val="510"/>
        </w:trPr>
        <w:tc>
          <w:tcPr>
            <w:tcW w:w="2660" w:type="dxa"/>
            <w:shd w:val="clear" w:color="auto" w:fill="auto"/>
            <w:vAlign w:val="center"/>
          </w:tcPr>
          <w:p w14:paraId="7AFA3735" w14:textId="16294ED5" w:rsidR="00E461B2" w:rsidRPr="008C137B" w:rsidRDefault="00E461B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PATENTE ROL</w:t>
            </w:r>
          </w:p>
        </w:tc>
        <w:tc>
          <w:tcPr>
            <w:tcW w:w="6124" w:type="dxa"/>
            <w:shd w:val="clear" w:color="auto" w:fill="auto"/>
            <w:vAlign w:val="center"/>
          </w:tcPr>
          <w:p w14:paraId="6C24ED21" w14:textId="1DFF3B0A" w:rsidR="00E461B2" w:rsidRDefault="00F21D65"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239437-5</w:t>
            </w:r>
          </w:p>
        </w:tc>
      </w:tr>
      <w:tr w:rsidR="00690E62" w:rsidRPr="008C137B" w14:paraId="7BC18842" w14:textId="77777777" w:rsidTr="00E461B2">
        <w:trPr>
          <w:trHeight w:val="510"/>
        </w:trPr>
        <w:tc>
          <w:tcPr>
            <w:tcW w:w="2660" w:type="dxa"/>
            <w:shd w:val="clear" w:color="auto" w:fill="auto"/>
            <w:vAlign w:val="center"/>
          </w:tcPr>
          <w:p w14:paraId="305E9013" w14:textId="30AA696E"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CONTRIBUYENTE</w:t>
            </w:r>
          </w:p>
        </w:tc>
        <w:tc>
          <w:tcPr>
            <w:tcW w:w="6124" w:type="dxa"/>
            <w:shd w:val="clear" w:color="auto" w:fill="auto"/>
            <w:vAlign w:val="center"/>
          </w:tcPr>
          <w:p w14:paraId="36C9EE23" w14:textId="3499C1EF" w:rsidR="00690E62" w:rsidRPr="008C137B" w:rsidRDefault="00F21D65"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COMERCIAL YILONG CHILE LIMITADA</w:t>
            </w:r>
          </w:p>
        </w:tc>
      </w:tr>
      <w:tr w:rsidR="00690E62" w:rsidRPr="008C137B" w14:paraId="0A596316" w14:textId="77777777" w:rsidTr="00E461B2">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124" w:type="dxa"/>
            <w:shd w:val="clear" w:color="auto" w:fill="auto"/>
            <w:vAlign w:val="center"/>
          </w:tcPr>
          <w:p w14:paraId="59E391B3" w14:textId="5323A39E" w:rsidR="00690E62" w:rsidRPr="008C137B" w:rsidRDefault="00F21D65" w:rsidP="000E5F7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77.027.869-4</w:t>
            </w:r>
          </w:p>
        </w:tc>
      </w:tr>
      <w:tr w:rsidR="00690E62" w:rsidRPr="008C137B" w14:paraId="30767954" w14:textId="77777777" w:rsidTr="00E461B2">
        <w:trPr>
          <w:trHeight w:val="510"/>
        </w:trPr>
        <w:tc>
          <w:tcPr>
            <w:tcW w:w="2660"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124" w:type="dxa"/>
            <w:shd w:val="clear" w:color="auto" w:fill="auto"/>
            <w:vAlign w:val="center"/>
          </w:tcPr>
          <w:p w14:paraId="67C5F5E0" w14:textId="74854308" w:rsidR="002E526C" w:rsidRPr="008C137B" w:rsidRDefault="00335CF3" w:rsidP="00335CF3">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VENTA DE VESTUARIO Y ARTÍCULOS PARA EL HOGAR, EXPENDIO DE ALIMENTOS QUE NO REQUIEREN REFRIGERACIÓN</w:t>
            </w:r>
          </w:p>
        </w:tc>
      </w:tr>
      <w:tr w:rsidR="00690E62" w:rsidRPr="008C137B" w14:paraId="28E0022E" w14:textId="77777777" w:rsidTr="00E461B2">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124" w:type="dxa"/>
            <w:shd w:val="clear" w:color="auto" w:fill="auto"/>
            <w:vAlign w:val="center"/>
          </w:tcPr>
          <w:p w14:paraId="53882428" w14:textId="43823057" w:rsidR="00690E62" w:rsidRPr="008C137B" w:rsidRDefault="00335CF3" w:rsidP="000626B4">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471990 – 472101 </w:t>
            </w:r>
          </w:p>
        </w:tc>
      </w:tr>
      <w:tr w:rsidR="00E461B2" w:rsidRPr="008C137B" w14:paraId="307B97CF" w14:textId="77777777" w:rsidTr="00E461B2">
        <w:trPr>
          <w:trHeight w:val="510"/>
        </w:trPr>
        <w:tc>
          <w:tcPr>
            <w:tcW w:w="2660" w:type="dxa"/>
            <w:shd w:val="clear" w:color="auto" w:fill="auto"/>
            <w:vAlign w:val="center"/>
          </w:tcPr>
          <w:p w14:paraId="34EB6CAF" w14:textId="107BA237" w:rsidR="00E461B2" w:rsidRPr="008C137B" w:rsidRDefault="00E461B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GIRO ANTERIOR</w:t>
            </w:r>
          </w:p>
        </w:tc>
        <w:tc>
          <w:tcPr>
            <w:tcW w:w="6124" w:type="dxa"/>
            <w:shd w:val="clear" w:color="auto" w:fill="auto"/>
            <w:vAlign w:val="center"/>
          </w:tcPr>
          <w:p w14:paraId="46B5333D" w14:textId="0D5C9013" w:rsidR="00E461B2" w:rsidRDefault="00F21D65" w:rsidP="00A47505">
            <w:pPr>
              <w:widowControl w:val="0"/>
              <w:autoSpaceDE w:val="0"/>
              <w:autoSpaceDN w:val="0"/>
              <w:spacing w:after="0" w:line="240" w:lineRule="auto"/>
              <w:ind w:right="-108"/>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VENTA AL POR MAYOR DE PRODUCTOS TEXTILES Y PRENDAS DE VESTIR Y CALZADOS</w:t>
            </w:r>
          </w:p>
        </w:tc>
      </w:tr>
      <w:tr w:rsidR="00690E62" w:rsidRPr="008C137B" w14:paraId="57B438E5" w14:textId="77777777" w:rsidTr="00E461B2">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124" w:type="dxa"/>
            <w:shd w:val="clear" w:color="auto" w:fill="auto"/>
            <w:vAlign w:val="center"/>
          </w:tcPr>
          <w:p w14:paraId="52851CF1" w14:textId="2AB987F2" w:rsidR="00690E62" w:rsidRPr="008C137B" w:rsidRDefault="00335CF3" w:rsidP="000E5F7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TRAMITESHUABO@GMAIL.COM</w:t>
            </w:r>
          </w:p>
        </w:tc>
      </w:tr>
      <w:tr w:rsidR="00690E62" w:rsidRPr="008C137B" w14:paraId="5651F6BF" w14:textId="77777777" w:rsidTr="00E461B2">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124" w:type="dxa"/>
            <w:shd w:val="clear" w:color="auto" w:fill="auto"/>
            <w:vAlign w:val="center"/>
          </w:tcPr>
          <w:p w14:paraId="2CF1E103" w14:textId="695E0CF8" w:rsidR="00690E62" w:rsidRPr="008C137B" w:rsidRDefault="00335CF3" w:rsidP="00A47505">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CALLE ARTURO PRAT N°61, QUILLOTA</w:t>
            </w:r>
          </w:p>
        </w:tc>
      </w:tr>
      <w:tr w:rsidR="00690E62" w:rsidRPr="008C137B" w14:paraId="28632958" w14:textId="77777777" w:rsidTr="00E461B2">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124" w:type="dxa"/>
            <w:shd w:val="clear" w:color="auto" w:fill="auto"/>
            <w:vAlign w:val="center"/>
          </w:tcPr>
          <w:p w14:paraId="75BB2ABA" w14:textId="10121012" w:rsidR="00690E62" w:rsidRPr="008C137B" w:rsidRDefault="00335CF3" w:rsidP="00E94DB4">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125 – 39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6B0134CE"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34F07BF3"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las Unidades de Rentas y Patentes y Fiscalización las medidas pertinentes para el cumplimiento de dicha Resolución.</w:t>
      </w:r>
    </w:p>
    <w:p w14:paraId="3591CACF" w14:textId="3A16CA96" w:rsidR="001C69A9" w:rsidRDefault="001C69A9" w:rsidP="00BF65D0">
      <w:pPr>
        <w:spacing w:line="360" w:lineRule="auto"/>
        <w:rPr>
          <w:sz w:val="20"/>
          <w:szCs w:val="20"/>
        </w:rPr>
      </w:pPr>
    </w:p>
    <w:p w14:paraId="7D38EA6B" w14:textId="77777777" w:rsidR="001C69A9" w:rsidRPr="001C69A9" w:rsidRDefault="001C69A9" w:rsidP="001C69A9">
      <w:pPr>
        <w:rPr>
          <w:sz w:val="20"/>
          <w:szCs w:val="20"/>
        </w:rPr>
      </w:pPr>
    </w:p>
    <w:p w14:paraId="2FA3123E" w14:textId="77777777" w:rsidR="001C69A9" w:rsidRPr="001C69A9" w:rsidRDefault="001C69A9" w:rsidP="001C69A9">
      <w:pPr>
        <w:rPr>
          <w:sz w:val="20"/>
          <w:szCs w:val="20"/>
        </w:rPr>
      </w:pPr>
    </w:p>
    <w:p w14:paraId="70224D62" w14:textId="77777777" w:rsidR="001C69A9" w:rsidRPr="001C69A9" w:rsidRDefault="001C69A9" w:rsidP="001C69A9">
      <w:pPr>
        <w:rPr>
          <w:sz w:val="20"/>
          <w:szCs w:val="20"/>
        </w:rPr>
      </w:pPr>
    </w:p>
    <w:p w14:paraId="5FBCA6DD" w14:textId="77777777" w:rsidR="001C69A9" w:rsidRPr="001C69A9" w:rsidRDefault="001C69A9" w:rsidP="001C69A9">
      <w:pPr>
        <w:rPr>
          <w:sz w:val="20"/>
          <w:szCs w:val="20"/>
        </w:rPr>
      </w:pPr>
    </w:p>
    <w:p w14:paraId="1766A2A1" w14:textId="635A42D3" w:rsidR="00DD2F29" w:rsidRPr="001C69A9" w:rsidRDefault="001C69A9" w:rsidP="001C69A9">
      <w:pPr>
        <w:tabs>
          <w:tab w:val="left" w:pos="2252"/>
        </w:tabs>
        <w:rPr>
          <w:sz w:val="20"/>
          <w:szCs w:val="20"/>
        </w:rPr>
      </w:pPr>
      <w:r>
        <w:rPr>
          <w:sz w:val="20"/>
          <w:szCs w:val="20"/>
        </w:rPr>
        <w:tab/>
      </w:r>
    </w:p>
    <w:sectPr w:rsidR="00DD2F29" w:rsidRPr="001C69A9" w:rsidSect="001C69A9">
      <w:headerReference w:type="default" r:id="rId8"/>
      <w:footerReference w:type="default" r:id="rId9"/>
      <w:pgSz w:w="12240" w:h="18720" w:code="14"/>
      <w:pgMar w:top="1417" w:right="1701" w:bottom="1134"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4A54E93C"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E66DF0">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105096EC" w:rsidR="00DD2F29" w:rsidRPr="00AF001A" w:rsidRDefault="00E66DF0">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38458B">
      <w:rPr>
        <w:rFonts w:ascii="Arial" w:eastAsia="Arial" w:hAnsi="Arial" w:cs="Arial"/>
        <w:b/>
        <w:color w:val="000000"/>
        <w:sz w:val="14"/>
        <w:szCs w:val="14"/>
      </w:rPr>
      <w:t>/</w:t>
    </w:r>
    <w:r w:rsidR="00A47505">
      <w:rPr>
        <w:rFonts w:ascii="Arial" w:eastAsia="Arial" w:hAnsi="Arial" w:cs="Arial"/>
        <w:b/>
        <w:color w:val="000000"/>
        <w:sz w:val="14"/>
        <w:szCs w:val="14"/>
      </w:rPr>
      <w:t>DMB</w:t>
    </w:r>
    <w:r w:rsidR="00CA28E3" w:rsidRPr="00AF001A">
      <w:rPr>
        <w:rFonts w:ascii="Arial" w:eastAsia="Arial" w:hAnsi="Arial" w:cs="Arial"/>
        <w:b/>
        <w:color w:val="000000"/>
        <w:sz w:val="14"/>
        <w:szCs w:val="14"/>
      </w:rPr>
      <w:t>/</w:t>
    </w:r>
    <w:proofErr w:type="spellStart"/>
    <w:r w:rsidR="00690E62">
      <w:rPr>
        <w:rFonts w:ascii="Arial" w:eastAsia="Arial" w:hAnsi="Arial" w:cs="Arial"/>
        <w:b/>
        <w:color w:val="000000"/>
        <w:sz w:val="14"/>
        <w:szCs w:val="14"/>
      </w:rPr>
      <w:t>cps</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21FE4"/>
    <w:rsid w:val="000626B4"/>
    <w:rsid w:val="00081F85"/>
    <w:rsid w:val="000B0903"/>
    <w:rsid w:val="000E5F70"/>
    <w:rsid w:val="00193927"/>
    <w:rsid w:val="001A7962"/>
    <w:rsid w:val="001B29A5"/>
    <w:rsid w:val="001C6139"/>
    <w:rsid w:val="001C69A9"/>
    <w:rsid w:val="001E15D7"/>
    <w:rsid w:val="00272757"/>
    <w:rsid w:val="002D005B"/>
    <w:rsid w:val="002E526C"/>
    <w:rsid w:val="00327ECF"/>
    <w:rsid w:val="00335CF3"/>
    <w:rsid w:val="0038458B"/>
    <w:rsid w:val="0043289E"/>
    <w:rsid w:val="00441FDB"/>
    <w:rsid w:val="004B7BE7"/>
    <w:rsid w:val="004C0A8C"/>
    <w:rsid w:val="0053314C"/>
    <w:rsid w:val="0056228D"/>
    <w:rsid w:val="00570C61"/>
    <w:rsid w:val="00603072"/>
    <w:rsid w:val="00690E62"/>
    <w:rsid w:val="00701A0C"/>
    <w:rsid w:val="007A5118"/>
    <w:rsid w:val="007E5382"/>
    <w:rsid w:val="007F755A"/>
    <w:rsid w:val="007F7AA1"/>
    <w:rsid w:val="008226AC"/>
    <w:rsid w:val="0084345F"/>
    <w:rsid w:val="00860840"/>
    <w:rsid w:val="008A1634"/>
    <w:rsid w:val="008B1D76"/>
    <w:rsid w:val="00927B7B"/>
    <w:rsid w:val="00A47505"/>
    <w:rsid w:val="00A54A02"/>
    <w:rsid w:val="00AC153A"/>
    <w:rsid w:val="00AF001A"/>
    <w:rsid w:val="00BF65D0"/>
    <w:rsid w:val="00C82C6B"/>
    <w:rsid w:val="00C86E8E"/>
    <w:rsid w:val="00CA28E3"/>
    <w:rsid w:val="00D04DF6"/>
    <w:rsid w:val="00DD2F29"/>
    <w:rsid w:val="00E04663"/>
    <w:rsid w:val="00E11234"/>
    <w:rsid w:val="00E461B2"/>
    <w:rsid w:val="00E66DF0"/>
    <w:rsid w:val="00E94DB4"/>
    <w:rsid w:val="00ED233B"/>
    <w:rsid w:val="00F00AED"/>
    <w:rsid w:val="00F21D65"/>
    <w:rsid w:val="00F24128"/>
    <w:rsid w:val="00F24916"/>
    <w:rsid w:val="00F31DD9"/>
    <w:rsid w:val="00F75FF0"/>
    <w:rsid w:val="00F95941"/>
    <w:rsid w:val="00FB0D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07754">
      <w:bodyDiv w:val="1"/>
      <w:marLeft w:val="0"/>
      <w:marRight w:val="0"/>
      <w:marTop w:val="0"/>
      <w:marBottom w:val="0"/>
      <w:divBdr>
        <w:top w:val="none" w:sz="0" w:space="0" w:color="auto"/>
        <w:left w:val="none" w:sz="0" w:space="0" w:color="auto"/>
        <w:bottom w:val="none" w:sz="0" w:space="0" w:color="auto"/>
        <w:right w:val="none" w:sz="0" w:space="0" w:color="auto"/>
      </w:divBdr>
    </w:div>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28</cp:revision>
  <cp:lastPrinted>2025-03-11T18:25:00Z</cp:lastPrinted>
  <dcterms:created xsi:type="dcterms:W3CDTF">2025-05-15T20:47:00Z</dcterms:created>
  <dcterms:modified xsi:type="dcterms:W3CDTF">2026-01-28T21:17:00Z</dcterms:modified>
</cp:coreProperties>
</file>